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FB554A" w:rsidRPr="004E1AF6" w:rsidRDefault="00FB554A" w:rsidP="002E3FE9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Pedestrian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or dull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Bona fide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good faith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Adventitious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Accidental; nonessential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Fecund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Fertile, productive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Deviate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turn aside from a course; to stray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Obfuscate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confuse; to bewilder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FB55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Impale</w:t>
            </w:r>
          </w:p>
        </w:tc>
        <w:tc>
          <w:tcPr>
            <w:tcW w:w="965" w:type="dxa"/>
          </w:tcPr>
          <w:p w:rsidR="00FB554A" w:rsidRPr="004E1AF6" w:rsidRDefault="00FB554A" w:rsidP="00FB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</w:p>
        </w:tc>
        <w:tc>
          <w:tcPr>
            <w:tcW w:w="4050" w:type="dxa"/>
          </w:tcPr>
          <w:p w:rsidR="00FB554A" w:rsidRDefault="00CA5B80" w:rsidP="00FB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pierce with a sharp stake</w:t>
            </w:r>
          </w:p>
          <w:p w:rsidR="002E3FE9" w:rsidRPr="004E1AF6" w:rsidRDefault="002E3FE9" w:rsidP="00FB554A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FB554A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FB554A">
            <w:pPr>
              <w:rPr>
                <w:sz w:val="24"/>
                <w:szCs w:val="24"/>
              </w:rPr>
            </w:pPr>
          </w:p>
        </w:tc>
      </w:tr>
      <w:tr w:rsidR="00FB554A" w:rsidRPr="004E1AF6" w:rsidTr="002E3FE9">
        <w:trPr>
          <w:trHeight w:val="188"/>
        </w:trPr>
        <w:tc>
          <w:tcPr>
            <w:tcW w:w="2923" w:type="dxa"/>
          </w:tcPr>
          <w:p w:rsidR="00FB554A" w:rsidRPr="004E1AF6" w:rsidRDefault="00FB554A" w:rsidP="00FB55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Extenuate</w:t>
            </w:r>
          </w:p>
        </w:tc>
        <w:tc>
          <w:tcPr>
            <w:tcW w:w="965" w:type="dxa"/>
          </w:tcPr>
          <w:p w:rsidR="00FB554A" w:rsidRPr="004E1AF6" w:rsidRDefault="00FB554A" w:rsidP="00FB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2E3FE9" w:rsidRPr="004E1AF6" w:rsidRDefault="00CA5B80" w:rsidP="00CA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lessen the seriousness by providing partial excuses</w:t>
            </w:r>
          </w:p>
        </w:tc>
        <w:tc>
          <w:tcPr>
            <w:tcW w:w="3339" w:type="dxa"/>
          </w:tcPr>
          <w:p w:rsidR="00FB554A" w:rsidRPr="004E1AF6" w:rsidRDefault="00FB554A" w:rsidP="00FB554A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FB554A">
            <w:pPr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Parochial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Local; narrow; limited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Glower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stare angrily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Edify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someone morally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Ambiguous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more than one interpretation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Cataclysm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violent change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Optimum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Best; most favorable; ideal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B554A" w:rsidRPr="004E1AF6" w:rsidTr="002E3FE9">
        <w:tc>
          <w:tcPr>
            <w:tcW w:w="2923" w:type="dxa"/>
          </w:tcPr>
          <w:p w:rsidR="00FB554A" w:rsidRPr="004E1AF6" w:rsidRDefault="00FB554A" w:rsidP="002E3F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Importune</w:t>
            </w:r>
          </w:p>
        </w:tc>
        <w:tc>
          <w:tcPr>
            <w:tcW w:w="965" w:type="dxa"/>
          </w:tcPr>
          <w:p w:rsidR="00FB554A" w:rsidRPr="004E1AF6" w:rsidRDefault="00FB554A" w:rsidP="002E3F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FB554A" w:rsidRPr="004E1AF6" w:rsidRDefault="00CA5B80" w:rsidP="002E3F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ask persistently; to beg</w:t>
            </w: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FB554A" w:rsidRPr="004E1AF6" w:rsidRDefault="00FB554A" w:rsidP="002E3FE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B554A" w:rsidRDefault="00FB554A" w:rsidP="00FB554A"/>
    <w:p w:rsidR="00DB7AA9" w:rsidRDefault="00DB7AA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D5477B" w:rsidRPr="00CE7755" w:rsidTr="007D5F81">
        <w:tc>
          <w:tcPr>
            <w:tcW w:w="14616" w:type="dxa"/>
            <w:gridSpan w:val="2"/>
          </w:tcPr>
          <w:p w:rsidR="00D5477B" w:rsidRPr="00CE7755" w:rsidRDefault="00D5477B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  <w:tr w:rsidR="00D5477B" w:rsidRPr="00CE7755" w:rsidTr="007D5F81">
        <w:tc>
          <w:tcPr>
            <w:tcW w:w="3978" w:type="dxa"/>
          </w:tcPr>
          <w:p w:rsidR="00D5477B" w:rsidRPr="00CE7755" w:rsidRDefault="00D5477B" w:rsidP="00D547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Default="00D5477B" w:rsidP="007D5F81">
            <w:pPr>
              <w:rPr>
                <w:sz w:val="24"/>
                <w:szCs w:val="24"/>
              </w:rPr>
            </w:pPr>
          </w:p>
          <w:p w:rsidR="00D5477B" w:rsidRPr="00CE7755" w:rsidRDefault="00D5477B" w:rsidP="007D5F81">
            <w:pPr>
              <w:rPr>
                <w:sz w:val="24"/>
                <w:szCs w:val="24"/>
              </w:rPr>
            </w:pPr>
          </w:p>
        </w:tc>
      </w:tr>
    </w:tbl>
    <w:p w:rsidR="00D5477B" w:rsidRPr="000F17CA" w:rsidRDefault="00D5477B">
      <w:pPr>
        <w:rPr>
          <w:sz w:val="24"/>
          <w:szCs w:val="24"/>
        </w:rPr>
      </w:pPr>
    </w:p>
    <w:sectPr w:rsidR="00D5477B" w:rsidRPr="000F17CA" w:rsidSect="002E3FE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86" w:rsidRDefault="00B37086" w:rsidP="00FB554A">
      <w:pPr>
        <w:spacing w:after="0" w:line="240" w:lineRule="auto"/>
      </w:pPr>
      <w:r>
        <w:separator/>
      </w:r>
    </w:p>
  </w:endnote>
  <w:endnote w:type="continuationSeparator" w:id="0">
    <w:p w:rsidR="00B37086" w:rsidRDefault="00B37086" w:rsidP="00FB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86" w:rsidRDefault="00B37086" w:rsidP="00FB554A">
      <w:pPr>
        <w:spacing w:after="0" w:line="240" w:lineRule="auto"/>
      </w:pPr>
      <w:r>
        <w:separator/>
      </w:r>
    </w:p>
  </w:footnote>
  <w:footnote w:type="continuationSeparator" w:id="0">
    <w:p w:rsidR="00B37086" w:rsidRDefault="00B37086" w:rsidP="00FB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05EA4847014EB3BB20ABD7688829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7086" w:rsidRDefault="00B37086" w:rsidP="002E3FE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III: Lesson 3</w:t>
        </w:r>
      </w:p>
    </w:sdtContent>
  </w:sdt>
  <w:p w:rsidR="00B37086" w:rsidRDefault="00B37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54A"/>
    <w:rsid w:val="000F17CA"/>
    <w:rsid w:val="002E3FE9"/>
    <w:rsid w:val="00683CA4"/>
    <w:rsid w:val="008B16D1"/>
    <w:rsid w:val="00981DFB"/>
    <w:rsid w:val="00B37086"/>
    <w:rsid w:val="00B879B5"/>
    <w:rsid w:val="00CA5B80"/>
    <w:rsid w:val="00D5477B"/>
    <w:rsid w:val="00DB7AA9"/>
    <w:rsid w:val="00DC3922"/>
    <w:rsid w:val="00FB554A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4A"/>
  </w:style>
  <w:style w:type="paragraph" w:styleId="ListParagraph">
    <w:name w:val="List Paragraph"/>
    <w:basedOn w:val="Normal"/>
    <w:uiPriority w:val="34"/>
    <w:qFormat/>
    <w:rsid w:val="00FB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B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54A"/>
  </w:style>
  <w:style w:type="paragraph" w:styleId="EndnoteText">
    <w:name w:val="endnote text"/>
    <w:basedOn w:val="Normal"/>
    <w:link w:val="EndnoteTextChar"/>
    <w:uiPriority w:val="99"/>
    <w:semiHidden/>
    <w:unhideWhenUsed/>
    <w:rsid w:val="00FB55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5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5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5EA4847014EB3BB20ABD76888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6535-A75D-4D13-B2AB-BF6C51178B31}"/>
      </w:docPartPr>
      <w:docPartBody>
        <w:p w:rsidR="006942DF" w:rsidRDefault="00B12A8F" w:rsidP="00B12A8F">
          <w:pPr>
            <w:pStyle w:val="7E05EA4847014EB3BB20ABD7688829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2A8F"/>
    <w:rsid w:val="004155FB"/>
    <w:rsid w:val="004A3C83"/>
    <w:rsid w:val="006942DF"/>
    <w:rsid w:val="00B12A8F"/>
    <w:rsid w:val="00E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5EA4847014EB3BB20ABD768882951">
    <w:name w:val="7E05EA4847014EB3BB20ABD768882951"/>
    <w:rsid w:val="00B12A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5E6-47D3-481B-A0A0-A2D63F62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III: Lesson 3</vt:lpstr>
    </vt:vector>
  </TitlesOfParts>
  <Company>Wake County Schools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3</dc:title>
  <dc:subject/>
  <dc:creator>Administrator</dc:creator>
  <cp:keywords/>
  <dc:description/>
  <cp:lastModifiedBy>rphillips</cp:lastModifiedBy>
  <cp:revision>4</cp:revision>
  <cp:lastPrinted>2011-09-16T18:59:00Z</cp:lastPrinted>
  <dcterms:created xsi:type="dcterms:W3CDTF">2011-09-16T18:59:00Z</dcterms:created>
  <dcterms:modified xsi:type="dcterms:W3CDTF">2015-06-09T14:18:00Z</dcterms:modified>
</cp:coreProperties>
</file>