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1C" w:rsidRDefault="00586450">
      <w:r>
        <w:t xml:space="preserve"> </w:t>
      </w:r>
    </w:p>
    <w:p w:rsidR="00586450" w:rsidRPr="007B750B" w:rsidRDefault="007B750B">
      <w:pPr>
        <w:rPr>
          <w:b/>
        </w:rPr>
      </w:pPr>
      <w:r w:rsidRPr="005C133A">
        <w:rPr>
          <w:b/>
          <w:sz w:val="24"/>
          <w:szCs w:val="24"/>
        </w:rPr>
        <w:t>What is style? How is style evaluated?</w:t>
      </w:r>
      <w:r w:rsidR="007C5290" w:rsidRPr="005C133A">
        <w:rPr>
          <w:b/>
          <w:sz w:val="24"/>
          <w:szCs w:val="24"/>
        </w:rPr>
        <w:t xml:space="preserve">                                                                                                       </w:t>
      </w:r>
      <w:r w:rsidR="005C133A">
        <w:rPr>
          <w:b/>
          <w:sz w:val="24"/>
          <w:szCs w:val="24"/>
        </w:rPr>
        <w:t xml:space="preserve">    </w:t>
      </w:r>
      <w:r w:rsidR="00AD033A">
        <w:rPr>
          <w:b/>
          <w:sz w:val="24"/>
          <w:szCs w:val="24"/>
        </w:rPr>
        <w:t xml:space="preserve">     </w:t>
      </w:r>
      <w:bookmarkStart w:id="0" w:name="_GoBack"/>
      <w:bookmarkEnd w:id="0"/>
      <w:r w:rsidR="00AD033A">
        <w:rPr>
          <w:b/>
        </w:rPr>
        <w:t>Phillips</w:t>
      </w:r>
    </w:p>
    <w:p w:rsidR="00586450" w:rsidRDefault="00586450">
      <w:r>
        <w:t xml:space="preserve">In fashion, </w:t>
      </w:r>
      <w:r w:rsidR="00006711">
        <w:t xml:space="preserve">photography, </w:t>
      </w:r>
      <w:r>
        <w:t xml:space="preserve">art, or architecture </w:t>
      </w:r>
      <w:r w:rsidR="007B750B" w:rsidRPr="007B750B">
        <w:rPr>
          <w:i/>
        </w:rPr>
        <w:t>style</w:t>
      </w:r>
      <w:r>
        <w:t xml:space="preserve"> isn’t so much WHAT someone </w:t>
      </w:r>
      <w:r w:rsidR="007B750B">
        <w:t xml:space="preserve">selects, </w:t>
      </w:r>
      <w:r>
        <w:t xml:space="preserve">but HOW a person arranges the elements </w:t>
      </w:r>
      <w:r w:rsidR="00006711">
        <w:t>to create a desired effect.</w:t>
      </w:r>
      <w:r w:rsidR="007B750B">
        <w:t xml:space="preserve"> Consider and discuss the choices evident in following images and the desired effect of the choices. </w:t>
      </w:r>
      <w:r w:rsidR="00006711">
        <w:t>Writers tend to make similar choices…</w:t>
      </w:r>
    </w:p>
    <w:tbl>
      <w:tblPr>
        <w:tblStyle w:val="TableGrid"/>
        <w:tblW w:w="0" w:type="auto"/>
        <w:tblLayout w:type="fixed"/>
        <w:tblLook w:val="04A0" w:firstRow="1" w:lastRow="0" w:firstColumn="1" w:lastColumn="0" w:noHBand="0" w:noVBand="1"/>
      </w:tblPr>
      <w:tblGrid>
        <w:gridCol w:w="5508"/>
        <w:gridCol w:w="5508"/>
      </w:tblGrid>
      <w:tr w:rsidR="00586450" w:rsidTr="00006711">
        <w:tc>
          <w:tcPr>
            <w:tcW w:w="5508" w:type="dxa"/>
          </w:tcPr>
          <w:p w:rsidR="00586450" w:rsidRDefault="002479B5">
            <w:r>
              <w:rPr>
                <w:noProof/>
              </w:rPr>
              <w:drawing>
                <wp:inline distT="0" distB="0" distL="0" distR="0">
                  <wp:extent cx="3372645" cy="2247049"/>
                  <wp:effectExtent l="19050" t="0" r="0" b="0"/>
                  <wp:docPr id="19" name="irc_mi" descr="http://thelocaltransplant.files.wordpress.com/2013/11/dsc0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localtransplant.files.wordpress.com/2013/11/dsc00816.jpg"/>
                          <pic:cNvPicPr>
                            <a:picLocks noChangeAspect="1" noChangeArrowheads="1"/>
                          </pic:cNvPicPr>
                        </pic:nvPicPr>
                        <pic:blipFill>
                          <a:blip r:embed="rId4" cstate="print"/>
                          <a:srcRect/>
                          <a:stretch>
                            <a:fillRect/>
                          </a:stretch>
                        </pic:blipFill>
                        <pic:spPr bwMode="auto">
                          <a:xfrm>
                            <a:off x="0" y="0"/>
                            <a:ext cx="3374905" cy="2248554"/>
                          </a:xfrm>
                          <a:prstGeom prst="rect">
                            <a:avLst/>
                          </a:prstGeom>
                          <a:noFill/>
                          <a:ln w="9525">
                            <a:noFill/>
                            <a:miter lim="800000"/>
                            <a:headEnd/>
                            <a:tailEnd/>
                          </a:ln>
                        </pic:spPr>
                      </pic:pic>
                    </a:graphicData>
                  </a:graphic>
                </wp:inline>
              </w:drawing>
            </w:r>
          </w:p>
          <w:p w:rsidR="002479B5" w:rsidRDefault="002479B5">
            <w:r>
              <w:t>From “The Ohio Transplant”</w:t>
            </w:r>
          </w:p>
        </w:tc>
        <w:tc>
          <w:tcPr>
            <w:tcW w:w="5508" w:type="dxa"/>
          </w:tcPr>
          <w:p w:rsidR="00586450" w:rsidRDefault="00006711">
            <w:r>
              <w:rPr>
                <w:noProof/>
              </w:rPr>
              <w:drawing>
                <wp:inline distT="0" distB="0" distL="0" distR="0">
                  <wp:extent cx="3192253" cy="2561099"/>
                  <wp:effectExtent l="19050" t="0" r="8147" b="0"/>
                  <wp:docPr id="22" name="Picture 22" descr="Another provocative image by Jean-François Campos, as seen on the website of hi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other provocative image by Jean-François Campos, as seen on the website of his agency."/>
                          <pic:cNvPicPr>
                            <a:picLocks noChangeAspect="1" noChangeArrowheads="1"/>
                          </pic:cNvPicPr>
                        </pic:nvPicPr>
                        <pic:blipFill>
                          <a:blip r:embed="rId5" cstate="print"/>
                          <a:srcRect/>
                          <a:stretch>
                            <a:fillRect/>
                          </a:stretch>
                        </pic:blipFill>
                        <pic:spPr bwMode="auto">
                          <a:xfrm>
                            <a:off x="0" y="0"/>
                            <a:ext cx="3195701" cy="2563866"/>
                          </a:xfrm>
                          <a:prstGeom prst="rect">
                            <a:avLst/>
                          </a:prstGeom>
                          <a:noFill/>
                          <a:ln w="9525">
                            <a:noFill/>
                            <a:miter lim="800000"/>
                            <a:headEnd/>
                            <a:tailEnd/>
                          </a:ln>
                        </pic:spPr>
                      </pic:pic>
                    </a:graphicData>
                  </a:graphic>
                </wp:inline>
              </w:drawing>
            </w:r>
          </w:p>
          <w:p w:rsidR="00006711" w:rsidRDefault="00006711">
            <w:r>
              <w:rPr>
                <w:rStyle w:val="Caption1"/>
              </w:rPr>
              <w:t>From Jean-François Campos</w:t>
            </w:r>
          </w:p>
        </w:tc>
      </w:tr>
      <w:tr w:rsidR="00586450" w:rsidTr="00006711">
        <w:tc>
          <w:tcPr>
            <w:tcW w:w="5508" w:type="dxa"/>
          </w:tcPr>
          <w:p w:rsidR="00586450" w:rsidRDefault="00586450" w:rsidP="007B750B">
            <w:pPr>
              <w:jc w:val="center"/>
            </w:pPr>
            <w:r>
              <w:rPr>
                <w:noProof/>
              </w:rPr>
              <w:drawing>
                <wp:inline distT="0" distB="0" distL="0" distR="0">
                  <wp:extent cx="2390631" cy="2384788"/>
                  <wp:effectExtent l="19050" t="0" r="0" b="0"/>
                  <wp:docPr id="10" name="Picture 10" descr="The Nice Guy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Nice Guy Complex"/>
                          <pic:cNvPicPr>
                            <a:picLocks noChangeAspect="1" noChangeArrowheads="1"/>
                          </pic:cNvPicPr>
                        </pic:nvPicPr>
                        <pic:blipFill>
                          <a:blip r:embed="rId6" cstate="print"/>
                          <a:srcRect l="14567" t="3561" r="16562" b="6953"/>
                          <a:stretch>
                            <a:fillRect/>
                          </a:stretch>
                        </pic:blipFill>
                        <pic:spPr bwMode="auto">
                          <a:xfrm>
                            <a:off x="0" y="0"/>
                            <a:ext cx="2390631" cy="2384788"/>
                          </a:xfrm>
                          <a:prstGeom prst="rect">
                            <a:avLst/>
                          </a:prstGeom>
                          <a:noFill/>
                          <a:ln w="9525">
                            <a:noFill/>
                            <a:miter lim="800000"/>
                            <a:headEnd/>
                            <a:tailEnd/>
                          </a:ln>
                        </pic:spPr>
                      </pic:pic>
                    </a:graphicData>
                  </a:graphic>
                </wp:inline>
              </w:drawing>
            </w:r>
          </w:p>
          <w:p w:rsidR="00586450" w:rsidRDefault="00586450">
            <w:r>
              <w:t>“</w:t>
            </w:r>
            <w:r w:rsidR="007B750B">
              <w:t>The Nice Guy Complex,</w:t>
            </w:r>
            <w:r>
              <w:t>” Jonathan Bartlett</w:t>
            </w:r>
          </w:p>
        </w:tc>
        <w:tc>
          <w:tcPr>
            <w:tcW w:w="5508" w:type="dxa"/>
          </w:tcPr>
          <w:p w:rsidR="002479B5" w:rsidRDefault="002479B5">
            <w:r>
              <w:rPr>
                <w:noProof/>
              </w:rPr>
              <w:drawing>
                <wp:inline distT="0" distB="0" distL="0" distR="0">
                  <wp:extent cx="3353878" cy="2212992"/>
                  <wp:effectExtent l="19050" t="0" r="0" b="0"/>
                  <wp:docPr id="16" name="irc_mi" descr="http://i5.minus.com/iE9pYCBJNk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5.minus.com/iE9pYCBJNkraa.jpg"/>
                          <pic:cNvPicPr>
                            <a:picLocks noChangeAspect="1" noChangeArrowheads="1"/>
                          </pic:cNvPicPr>
                        </pic:nvPicPr>
                        <pic:blipFill>
                          <a:blip r:embed="rId7" cstate="print"/>
                          <a:srcRect l="16305" t="7115" b="10216"/>
                          <a:stretch>
                            <a:fillRect/>
                          </a:stretch>
                        </pic:blipFill>
                        <pic:spPr bwMode="auto">
                          <a:xfrm>
                            <a:off x="0" y="0"/>
                            <a:ext cx="3363985" cy="2219661"/>
                          </a:xfrm>
                          <a:prstGeom prst="rect">
                            <a:avLst/>
                          </a:prstGeom>
                          <a:noFill/>
                          <a:ln w="9525">
                            <a:noFill/>
                            <a:miter lim="800000"/>
                            <a:headEnd/>
                            <a:tailEnd/>
                          </a:ln>
                        </pic:spPr>
                      </pic:pic>
                    </a:graphicData>
                  </a:graphic>
                </wp:inline>
              </w:drawing>
            </w:r>
          </w:p>
          <w:p w:rsidR="002479B5" w:rsidRDefault="002479B5" w:rsidP="002479B5"/>
          <w:p w:rsidR="002479B5" w:rsidRPr="002479B5" w:rsidRDefault="002479B5" w:rsidP="007B750B">
            <w:r>
              <w:t>“Crayon Boy (Gun)</w:t>
            </w:r>
            <w:r w:rsidR="007B750B">
              <w:t xml:space="preserve">” </w:t>
            </w:r>
            <w:r>
              <w:t>Banksy</w:t>
            </w:r>
          </w:p>
        </w:tc>
      </w:tr>
      <w:tr w:rsidR="00586450" w:rsidTr="00006711">
        <w:tc>
          <w:tcPr>
            <w:tcW w:w="5508" w:type="dxa"/>
          </w:tcPr>
          <w:p w:rsidR="00586450" w:rsidRDefault="00006711">
            <w:r>
              <w:rPr>
                <w:noProof/>
              </w:rPr>
              <w:drawing>
                <wp:inline distT="0" distB="0" distL="0" distR="0">
                  <wp:extent cx="3347049" cy="2239502"/>
                  <wp:effectExtent l="19050" t="0" r="5751" b="0"/>
                  <wp:docPr id="25" name="irc_mi" descr="http://windermerediablorealty.com/uploads/architectural_styles/21/large_front_Greek_Re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ndermerediablorealty.com/uploads/architectural_styles/21/large_front_Greek_Revival.jpg"/>
                          <pic:cNvPicPr>
                            <a:picLocks noChangeAspect="1" noChangeArrowheads="1"/>
                          </pic:cNvPicPr>
                        </pic:nvPicPr>
                        <pic:blipFill>
                          <a:blip r:embed="rId8" cstate="print"/>
                          <a:srcRect/>
                          <a:stretch>
                            <a:fillRect/>
                          </a:stretch>
                        </pic:blipFill>
                        <pic:spPr bwMode="auto">
                          <a:xfrm>
                            <a:off x="0" y="0"/>
                            <a:ext cx="3348388" cy="2240398"/>
                          </a:xfrm>
                          <a:prstGeom prst="rect">
                            <a:avLst/>
                          </a:prstGeom>
                          <a:noFill/>
                          <a:ln w="9525">
                            <a:noFill/>
                            <a:miter lim="800000"/>
                            <a:headEnd/>
                            <a:tailEnd/>
                          </a:ln>
                        </pic:spPr>
                      </pic:pic>
                    </a:graphicData>
                  </a:graphic>
                </wp:inline>
              </w:drawing>
            </w:r>
          </w:p>
        </w:tc>
        <w:tc>
          <w:tcPr>
            <w:tcW w:w="5508" w:type="dxa"/>
          </w:tcPr>
          <w:p w:rsidR="00586450" w:rsidRDefault="00586450">
            <w:r>
              <w:rPr>
                <w:noProof/>
              </w:rPr>
              <w:drawing>
                <wp:inline distT="0" distB="0" distL="0" distR="0">
                  <wp:extent cx="3193587" cy="2310761"/>
                  <wp:effectExtent l="19050" t="0" r="6813" b="0"/>
                  <wp:docPr id="1" name="irc_mi" descr="http://blog.art21.org/wp-content/uploads/2009/11/Malibu-5-Stephen-K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art21.org/wp-content/uploads/2009/11/Malibu-5-Stephen-Kanner.jpg"/>
                          <pic:cNvPicPr>
                            <a:picLocks noChangeAspect="1" noChangeArrowheads="1"/>
                          </pic:cNvPicPr>
                        </pic:nvPicPr>
                        <pic:blipFill>
                          <a:blip r:embed="rId9" cstate="print"/>
                          <a:srcRect/>
                          <a:stretch>
                            <a:fillRect/>
                          </a:stretch>
                        </pic:blipFill>
                        <pic:spPr bwMode="auto">
                          <a:xfrm>
                            <a:off x="0" y="0"/>
                            <a:ext cx="3193504" cy="2310701"/>
                          </a:xfrm>
                          <a:prstGeom prst="rect">
                            <a:avLst/>
                          </a:prstGeom>
                          <a:noFill/>
                          <a:ln w="9525">
                            <a:noFill/>
                            <a:miter lim="800000"/>
                            <a:headEnd/>
                            <a:tailEnd/>
                          </a:ln>
                        </pic:spPr>
                      </pic:pic>
                    </a:graphicData>
                  </a:graphic>
                </wp:inline>
              </w:drawing>
            </w:r>
          </w:p>
        </w:tc>
      </w:tr>
    </w:tbl>
    <w:p w:rsidR="00586450" w:rsidRPr="00BB5556" w:rsidRDefault="002A15FF" w:rsidP="002A15FF">
      <w:pPr>
        <w:jc w:val="center"/>
        <w:rPr>
          <w:b/>
          <w:sz w:val="24"/>
          <w:szCs w:val="24"/>
        </w:rPr>
      </w:pPr>
      <w:r w:rsidRPr="00BB5556">
        <w:rPr>
          <w:b/>
          <w:sz w:val="24"/>
          <w:szCs w:val="24"/>
        </w:rPr>
        <w:lastRenderedPageBreak/>
        <w:t>Evaluation of a Written or Spoken Text – Style &amp; Purpose</w:t>
      </w:r>
    </w:p>
    <w:p w:rsidR="00006711" w:rsidRDefault="00006711">
      <w:r>
        <w:t>Consider the following reading and look for patterns</w:t>
      </w:r>
      <w:r w:rsidR="007C5290">
        <w:t xml:space="preserve"> (perhaps repetition or parallelism)</w:t>
      </w:r>
      <w:r>
        <w:t xml:space="preserve"> in word choice (diction) and sentence structure (syntax). These are important stylistic elements in writing </w:t>
      </w:r>
      <w:r w:rsidR="007C5290">
        <w:t>that</w:t>
      </w:r>
      <w:r>
        <w:t xml:space="preserve"> shape tone (the attitude) of the writing and the mood (the feel</w:t>
      </w:r>
      <w:r w:rsidR="007C5290">
        <w:t xml:space="preserve"> or emotion</w:t>
      </w:r>
      <w:r>
        <w:t xml:space="preserve">) of the </w:t>
      </w:r>
      <w:r w:rsidR="007C5290">
        <w:t>text</w:t>
      </w:r>
      <w:r>
        <w:t xml:space="preserve">. With writing, as with </w:t>
      </w:r>
      <w:r w:rsidR="00CE54C8">
        <w:t>other mediums where style is important</w:t>
      </w:r>
      <w:r>
        <w:t>, we must also co</w:t>
      </w:r>
      <w:r w:rsidR="00CE54C8">
        <w:t xml:space="preserve">nsider the context and audience. </w:t>
      </w:r>
      <w:r w:rsidR="00CE54C8" w:rsidRPr="007C5290">
        <w:rPr>
          <w:b/>
        </w:rPr>
        <w:t xml:space="preserve">Annotate the text </w:t>
      </w:r>
      <w:r w:rsidR="007C5290" w:rsidRPr="007C5290">
        <w:rPr>
          <w:b/>
        </w:rPr>
        <w:t>below</w:t>
      </w:r>
      <w:r w:rsidR="007C5290">
        <w:t xml:space="preserve"> </w:t>
      </w:r>
      <w:r w:rsidR="00CE54C8" w:rsidRPr="007C5290">
        <w:rPr>
          <w:b/>
        </w:rPr>
        <w:t>with the above considerations in mind.</w:t>
      </w:r>
    </w:p>
    <w:tbl>
      <w:tblPr>
        <w:tblStyle w:val="TableGrid"/>
        <w:tblW w:w="0" w:type="auto"/>
        <w:tblLook w:val="04A0" w:firstRow="1" w:lastRow="0" w:firstColumn="1" w:lastColumn="0" w:noHBand="0" w:noVBand="1"/>
      </w:tblPr>
      <w:tblGrid>
        <w:gridCol w:w="5418"/>
        <w:gridCol w:w="5598"/>
      </w:tblGrid>
      <w:tr w:rsidR="00CE54C8" w:rsidTr="0060651C">
        <w:tc>
          <w:tcPr>
            <w:tcW w:w="11016" w:type="dxa"/>
            <w:gridSpan w:val="2"/>
          </w:tcPr>
          <w:p w:rsidR="00CE54C8" w:rsidRPr="00CE54C8" w:rsidRDefault="00AD033A" w:rsidP="00CE54C8">
            <w:pPr>
              <w:spacing w:before="100" w:beforeAutospacing="1" w:after="100" w:afterAutospacing="1"/>
              <w:rPr>
                <w:rFonts w:eastAsia="Times New Roman" w:cs="Times New Roman"/>
                <w:b/>
                <w:sz w:val="24"/>
                <w:szCs w:val="24"/>
              </w:rPr>
            </w:pPr>
            <w:hyperlink r:id="rId10" w:history="1">
              <w:r w:rsidR="00CE54C8" w:rsidRPr="00552F6D">
                <w:rPr>
                  <w:rStyle w:val="Hyperlink"/>
                  <w:rFonts w:eastAsia="Times New Roman" w:cs="Times New Roman"/>
                  <w:b/>
                  <w:i/>
                  <w:iCs/>
                  <w:sz w:val="24"/>
                  <w:szCs w:val="24"/>
                </w:rPr>
                <w:t>Lou Gehrig's Farewell Address</w:t>
              </w:r>
            </w:hyperlink>
            <w:r w:rsidR="002A15FF">
              <w:rPr>
                <w:rStyle w:val="Hyperlink"/>
                <w:rFonts w:eastAsia="Times New Roman" w:cs="Times New Roman"/>
                <w:b/>
                <w:i/>
                <w:iCs/>
                <w:sz w:val="24"/>
                <w:szCs w:val="24"/>
              </w:rPr>
              <w:t xml:space="preserve"> </w:t>
            </w:r>
          </w:p>
          <w:p w:rsidR="00CE54C8" w:rsidRPr="002A15FF" w:rsidRDefault="00CE54C8" w:rsidP="00CE54C8">
            <w:pPr>
              <w:spacing w:before="100" w:beforeAutospacing="1" w:after="100" w:afterAutospacing="1"/>
              <w:rPr>
                <w:rFonts w:eastAsia="Times New Roman" w:cs="Times New Roman"/>
                <w:sz w:val="24"/>
                <w:szCs w:val="24"/>
              </w:rPr>
            </w:pPr>
            <w:r w:rsidRPr="00CE54C8">
              <w:rPr>
                <w:rFonts w:eastAsia="Times New Roman" w:cs="Times New Roman"/>
                <w:sz w:val="24"/>
                <w:szCs w:val="24"/>
              </w:rPr>
              <w:t xml:space="preserve">"Fans, for the past two weeks you have been reading about the bad break I got. Yet today I consider myself the luckiest man on the face of this earth. I have been in ballparks for seventeen years and have never received anything but kindness and encouragement from you fans. </w:t>
            </w:r>
            <w:r w:rsidRPr="00CE54C8">
              <w:rPr>
                <w:rFonts w:eastAsia="Times New Roman" w:cs="Times New Roman"/>
                <w:sz w:val="24"/>
                <w:szCs w:val="24"/>
              </w:rPr>
              <w:br/>
            </w:r>
            <w:r w:rsidRPr="00CE54C8">
              <w:rPr>
                <w:rFonts w:eastAsia="Times New Roman" w:cs="Times New Roman"/>
                <w:sz w:val="24"/>
                <w:szCs w:val="24"/>
              </w:rPr>
              <w:br/>
              <w:t xml:space="preserve">"Look at these grand men. Which of you wouldn't consider it the highlight of his career just to associate with them for even one day? Sure, I'm lucky. Who wouldn't consider it an honor to have known Jacob Ruppert? Also, the builder of baseball's greatest empire, Ed Barrow? To have spent six years with that wonderful little fellow, Miller Huggins? Then to have spent the next nine years with that outstanding leader, that smart student of psychology, the best manager in baseball today, Joe McCarthy? Sure, I'm lucky. </w:t>
            </w:r>
            <w:r w:rsidRPr="00CE54C8">
              <w:rPr>
                <w:rFonts w:eastAsia="Times New Roman" w:cs="Times New Roman"/>
                <w:sz w:val="24"/>
                <w:szCs w:val="24"/>
              </w:rPr>
              <w:br/>
            </w:r>
            <w:r w:rsidRPr="00CE54C8">
              <w:rPr>
                <w:rFonts w:eastAsia="Times New Roman" w:cs="Times New Roman"/>
                <w:sz w:val="24"/>
                <w:szCs w:val="24"/>
              </w:rPr>
              <w:br/>
              <w:t xml:space="preserve">"When the New York Giants, a team you would give your right arm to beat, and vice versa, sends you a gift - that's something. When everybody down to the groundskeepers and those boys in white coats remember you with trophies - that's something. When you have a wonderful mother-in-law who takes sides with you in squabbles with her own daughter - that's something. When you have a father and a mother who work all their lives so you can have an education and build your body - it's a blessing. When you have a wife who has been a tower of strength and shown more courage than you dreamed existed - that's the finest I know. </w:t>
            </w:r>
            <w:r w:rsidRPr="00CE54C8">
              <w:rPr>
                <w:rFonts w:eastAsia="Times New Roman" w:cs="Times New Roman"/>
                <w:sz w:val="24"/>
                <w:szCs w:val="24"/>
              </w:rPr>
              <w:br/>
            </w:r>
            <w:r w:rsidRPr="00CE54C8">
              <w:rPr>
                <w:rFonts w:eastAsia="Times New Roman" w:cs="Times New Roman"/>
                <w:sz w:val="24"/>
                <w:szCs w:val="24"/>
              </w:rPr>
              <w:br/>
              <w:t>"So I close in saying that I might have been given a bad break, but I've got an awful lot to live for."</w:t>
            </w:r>
          </w:p>
        </w:tc>
      </w:tr>
      <w:tr w:rsidR="003714BB" w:rsidTr="003714BB">
        <w:tc>
          <w:tcPr>
            <w:tcW w:w="11016" w:type="dxa"/>
            <w:gridSpan w:val="2"/>
            <w:shd w:val="clear" w:color="auto" w:fill="D9D9D9" w:themeFill="background1" w:themeFillShade="D9"/>
          </w:tcPr>
          <w:p w:rsidR="003714BB" w:rsidRPr="002A15FF" w:rsidRDefault="003714BB" w:rsidP="003714BB">
            <w:pPr>
              <w:spacing w:before="100" w:beforeAutospacing="1" w:after="100" w:afterAutospacing="1"/>
              <w:jc w:val="center"/>
              <w:rPr>
                <w:b/>
              </w:rPr>
            </w:pPr>
            <w:r w:rsidRPr="002A15FF">
              <w:rPr>
                <w:b/>
              </w:rPr>
              <w:t>Two-Column Note</w:t>
            </w:r>
            <w:r w:rsidR="00B11570">
              <w:rPr>
                <w:b/>
              </w:rPr>
              <w:t>s</w:t>
            </w:r>
            <w:r w:rsidRPr="002A15FF">
              <w:rPr>
                <w:b/>
              </w:rPr>
              <w:t xml:space="preserve"> – </w:t>
            </w:r>
            <w:r w:rsidR="00B11570">
              <w:rPr>
                <w:b/>
              </w:rPr>
              <w:t xml:space="preserve">A </w:t>
            </w:r>
            <w:r w:rsidRPr="002A15FF">
              <w:rPr>
                <w:b/>
              </w:rPr>
              <w:t>Thesis Building Exercise</w:t>
            </w:r>
          </w:p>
        </w:tc>
      </w:tr>
      <w:tr w:rsidR="00CE54C8" w:rsidTr="002A15FF">
        <w:tc>
          <w:tcPr>
            <w:tcW w:w="5418" w:type="dxa"/>
          </w:tcPr>
          <w:p w:rsidR="00CE54C8" w:rsidRPr="002A15FF" w:rsidRDefault="00CE54C8" w:rsidP="003714BB">
            <w:pPr>
              <w:jc w:val="center"/>
              <w:rPr>
                <w:i/>
              </w:rPr>
            </w:pPr>
            <w:r w:rsidRPr="005C133A">
              <w:rPr>
                <w:b/>
                <w:i/>
              </w:rPr>
              <w:t>Choices</w:t>
            </w:r>
            <w:r w:rsidRPr="002A15FF">
              <w:rPr>
                <w:i/>
              </w:rPr>
              <w:t xml:space="preserve"> made by</w:t>
            </w:r>
            <w:r w:rsidR="005C133A">
              <w:rPr>
                <w:i/>
              </w:rPr>
              <w:t>/</w:t>
            </w:r>
            <w:r w:rsidR="005C133A" w:rsidRPr="005C133A">
              <w:rPr>
                <w:b/>
                <w:i/>
              </w:rPr>
              <w:t>d</w:t>
            </w:r>
            <w:r w:rsidR="002A15FF" w:rsidRPr="005C133A">
              <w:rPr>
                <w:b/>
                <w:i/>
              </w:rPr>
              <w:t>evices</w:t>
            </w:r>
            <w:r w:rsidR="002A15FF" w:rsidRPr="002A15FF">
              <w:rPr>
                <w:i/>
              </w:rPr>
              <w:t xml:space="preserve"> used by</w:t>
            </w:r>
            <w:r w:rsidRPr="002A15FF">
              <w:rPr>
                <w:i/>
              </w:rPr>
              <w:t xml:space="preserve"> the speaker</w:t>
            </w:r>
            <w:r w:rsidR="002A15FF" w:rsidRPr="002A15FF">
              <w:rPr>
                <w:i/>
              </w:rPr>
              <w:t>/writer?</w:t>
            </w:r>
          </w:p>
          <w:p w:rsidR="00CE54C8" w:rsidRDefault="00CE54C8">
            <w:pPr>
              <w:rPr>
                <w:sz w:val="24"/>
                <w:szCs w:val="24"/>
              </w:rPr>
            </w:pPr>
          </w:p>
          <w:p w:rsidR="00CE54C8" w:rsidRDefault="00CE54C8">
            <w:pPr>
              <w:rPr>
                <w:sz w:val="24"/>
                <w:szCs w:val="24"/>
              </w:rPr>
            </w:pPr>
          </w:p>
          <w:p w:rsidR="00CE54C8" w:rsidRDefault="00CE54C8">
            <w:pPr>
              <w:rPr>
                <w:sz w:val="24"/>
                <w:szCs w:val="24"/>
              </w:rPr>
            </w:pPr>
          </w:p>
          <w:p w:rsidR="00CE54C8" w:rsidRDefault="00CE54C8">
            <w:pPr>
              <w:rPr>
                <w:sz w:val="24"/>
                <w:szCs w:val="24"/>
              </w:rPr>
            </w:pPr>
          </w:p>
          <w:p w:rsidR="00CE54C8" w:rsidRDefault="00CE54C8">
            <w:pPr>
              <w:rPr>
                <w:sz w:val="24"/>
                <w:szCs w:val="24"/>
              </w:rPr>
            </w:pPr>
          </w:p>
          <w:p w:rsidR="00CE54C8" w:rsidRDefault="00CE54C8">
            <w:pPr>
              <w:rPr>
                <w:sz w:val="24"/>
                <w:szCs w:val="24"/>
              </w:rPr>
            </w:pPr>
          </w:p>
          <w:p w:rsidR="00CE54C8" w:rsidRPr="00CE54C8" w:rsidRDefault="00CE54C8">
            <w:pPr>
              <w:rPr>
                <w:sz w:val="24"/>
                <w:szCs w:val="24"/>
              </w:rPr>
            </w:pPr>
          </w:p>
        </w:tc>
        <w:tc>
          <w:tcPr>
            <w:tcW w:w="5598" w:type="dxa"/>
          </w:tcPr>
          <w:p w:rsidR="00CE54C8" w:rsidRPr="002A15FF" w:rsidRDefault="00CE54C8" w:rsidP="003714BB">
            <w:pPr>
              <w:jc w:val="center"/>
              <w:rPr>
                <w:i/>
              </w:rPr>
            </w:pPr>
            <w:r w:rsidRPr="005C133A">
              <w:rPr>
                <w:b/>
                <w:i/>
              </w:rPr>
              <w:t>Purpose</w:t>
            </w:r>
            <w:r w:rsidRPr="002A15FF">
              <w:rPr>
                <w:i/>
              </w:rPr>
              <w:t xml:space="preserve"> or impact of the </w:t>
            </w:r>
            <w:r w:rsidR="00124EA7">
              <w:rPr>
                <w:i/>
              </w:rPr>
              <w:t>choices/devices</w:t>
            </w:r>
            <w:r w:rsidR="002A15FF" w:rsidRPr="002A15FF">
              <w:rPr>
                <w:i/>
              </w:rPr>
              <w:t>?</w:t>
            </w: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p w:rsidR="00CE54C8" w:rsidRPr="00CE54C8" w:rsidRDefault="00CE54C8">
            <w:pPr>
              <w:rPr>
                <w:sz w:val="24"/>
                <w:szCs w:val="24"/>
              </w:rPr>
            </w:pPr>
          </w:p>
        </w:tc>
      </w:tr>
      <w:tr w:rsidR="003714BB" w:rsidTr="00ED7474">
        <w:tc>
          <w:tcPr>
            <w:tcW w:w="11016" w:type="dxa"/>
            <w:gridSpan w:val="2"/>
          </w:tcPr>
          <w:p w:rsidR="003714BB" w:rsidRPr="002A15FF" w:rsidRDefault="003714BB" w:rsidP="002A15FF">
            <w:pPr>
              <w:tabs>
                <w:tab w:val="left" w:pos="696"/>
              </w:tabs>
              <w:jc w:val="center"/>
              <w:rPr>
                <w:b/>
                <w:sz w:val="24"/>
                <w:szCs w:val="24"/>
              </w:rPr>
            </w:pPr>
            <w:r w:rsidRPr="003714BB">
              <w:rPr>
                <w:b/>
                <w:sz w:val="24"/>
                <w:szCs w:val="24"/>
              </w:rPr>
              <w:t>THESIS</w:t>
            </w:r>
            <w:r w:rsidR="002A15FF">
              <w:rPr>
                <w:b/>
                <w:sz w:val="24"/>
                <w:szCs w:val="24"/>
              </w:rPr>
              <w:t xml:space="preserve"> = </w:t>
            </w:r>
            <w:r w:rsidRPr="00124EA7">
              <w:rPr>
                <w:b/>
                <w:sz w:val="24"/>
                <w:szCs w:val="24"/>
                <w:u w:val="single"/>
              </w:rPr>
              <w:t>TAG</w:t>
            </w:r>
            <w:r w:rsidR="002A15FF">
              <w:rPr>
                <w:b/>
                <w:sz w:val="24"/>
                <w:szCs w:val="24"/>
              </w:rPr>
              <w:t xml:space="preserve"> </w:t>
            </w:r>
            <w:r w:rsidR="002A15FF" w:rsidRPr="005C133A">
              <w:rPr>
                <w:sz w:val="24"/>
                <w:szCs w:val="24"/>
              </w:rPr>
              <w:t>(</w:t>
            </w:r>
            <w:r w:rsidRPr="005C133A">
              <w:rPr>
                <w:sz w:val="24"/>
                <w:szCs w:val="24"/>
              </w:rPr>
              <w:t>Title,</w:t>
            </w:r>
            <w:r w:rsidR="002A15FF" w:rsidRPr="005C133A">
              <w:rPr>
                <w:sz w:val="24"/>
                <w:szCs w:val="24"/>
              </w:rPr>
              <w:t xml:space="preserve"> </w:t>
            </w:r>
            <w:r w:rsidRPr="005C133A">
              <w:rPr>
                <w:sz w:val="24"/>
                <w:szCs w:val="24"/>
              </w:rPr>
              <w:t>Author,</w:t>
            </w:r>
            <w:r w:rsidR="002A15FF" w:rsidRPr="005C133A">
              <w:rPr>
                <w:sz w:val="24"/>
                <w:szCs w:val="24"/>
              </w:rPr>
              <w:t xml:space="preserve"> Genre)</w:t>
            </w:r>
            <w:r>
              <w:rPr>
                <w:b/>
                <w:sz w:val="24"/>
                <w:szCs w:val="24"/>
              </w:rPr>
              <w:t xml:space="preserve"> + </w:t>
            </w:r>
            <w:r w:rsidRPr="00124EA7">
              <w:rPr>
                <w:b/>
                <w:sz w:val="24"/>
                <w:szCs w:val="24"/>
                <w:u w:val="single"/>
              </w:rPr>
              <w:t>Choice</w:t>
            </w:r>
            <w:r w:rsidR="002A15FF" w:rsidRPr="005C133A">
              <w:rPr>
                <w:sz w:val="24"/>
                <w:szCs w:val="24"/>
              </w:rPr>
              <w:t>(s)</w:t>
            </w:r>
            <w:r w:rsidR="002A15FF">
              <w:rPr>
                <w:b/>
                <w:sz w:val="24"/>
                <w:szCs w:val="24"/>
              </w:rPr>
              <w:t>/</w:t>
            </w:r>
            <w:r w:rsidR="00124EA7">
              <w:rPr>
                <w:b/>
                <w:sz w:val="24"/>
                <w:szCs w:val="24"/>
                <w:u w:val="single"/>
              </w:rPr>
              <w:t>Device</w:t>
            </w:r>
            <w:r w:rsidRPr="005C133A">
              <w:rPr>
                <w:sz w:val="24"/>
                <w:szCs w:val="24"/>
              </w:rPr>
              <w:t>(s)</w:t>
            </w:r>
            <w:r w:rsidR="002A15FF">
              <w:rPr>
                <w:b/>
                <w:sz w:val="24"/>
                <w:szCs w:val="24"/>
              </w:rPr>
              <w:t xml:space="preserve"> + </w:t>
            </w:r>
            <w:r w:rsidR="002A15FF" w:rsidRPr="00124EA7">
              <w:rPr>
                <w:b/>
                <w:sz w:val="24"/>
                <w:szCs w:val="24"/>
                <w:u w:val="single"/>
              </w:rPr>
              <w:t>Purpose</w:t>
            </w:r>
            <w:r w:rsidR="00124EA7">
              <w:rPr>
                <w:b/>
                <w:sz w:val="24"/>
                <w:szCs w:val="24"/>
                <w:u w:val="single"/>
              </w:rPr>
              <w:t>/Effect</w:t>
            </w:r>
          </w:p>
        </w:tc>
      </w:tr>
      <w:tr w:rsidR="002A15FF" w:rsidTr="00ED7474">
        <w:tc>
          <w:tcPr>
            <w:tcW w:w="11016" w:type="dxa"/>
            <w:gridSpan w:val="2"/>
          </w:tcPr>
          <w:p w:rsidR="002A15FF" w:rsidRPr="003714BB" w:rsidRDefault="002A15FF" w:rsidP="00124EA7">
            <w:pPr>
              <w:tabs>
                <w:tab w:val="left" w:pos="696"/>
              </w:tabs>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r w:rsidR="002A15FF" w:rsidTr="00ED7474">
        <w:tc>
          <w:tcPr>
            <w:tcW w:w="11016" w:type="dxa"/>
            <w:gridSpan w:val="2"/>
          </w:tcPr>
          <w:p w:rsidR="002A15FF" w:rsidRPr="003714BB" w:rsidRDefault="002A15FF" w:rsidP="002A15FF">
            <w:pPr>
              <w:tabs>
                <w:tab w:val="left" w:pos="696"/>
              </w:tabs>
              <w:jc w:val="center"/>
              <w:rPr>
                <w:b/>
                <w:sz w:val="24"/>
                <w:szCs w:val="24"/>
              </w:rPr>
            </w:pPr>
          </w:p>
        </w:tc>
      </w:tr>
    </w:tbl>
    <w:p w:rsidR="00CE54C8" w:rsidRDefault="00CE54C8"/>
    <w:sectPr w:rsidR="00CE54C8" w:rsidSect="00586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86450"/>
    <w:rsid w:val="00006711"/>
    <w:rsid w:val="00124EA7"/>
    <w:rsid w:val="0013472D"/>
    <w:rsid w:val="002479B5"/>
    <w:rsid w:val="002A15FF"/>
    <w:rsid w:val="00340B28"/>
    <w:rsid w:val="003714BB"/>
    <w:rsid w:val="00552F6D"/>
    <w:rsid w:val="00586450"/>
    <w:rsid w:val="005C133A"/>
    <w:rsid w:val="0060651C"/>
    <w:rsid w:val="00716D6E"/>
    <w:rsid w:val="007B6E2D"/>
    <w:rsid w:val="007B750B"/>
    <w:rsid w:val="007C058B"/>
    <w:rsid w:val="007C5290"/>
    <w:rsid w:val="00AD033A"/>
    <w:rsid w:val="00B11570"/>
    <w:rsid w:val="00BB5556"/>
    <w:rsid w:val="00CE54C8"/>
    <w:rsid w:val="00D76CC7"/>
    <w:rsid w:val="00DE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EF275-D4C8-4454-BDC8-6A277E5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50"/>
    <w:rPr>
      <w:rFonts w:ascii="Tahoma" w:hAnsi="Tahoma" w:cs="Tahoma"/>
      <w:sz w:val="16"/>
      <w:szCs w:val="16"/>
    </w:rPr>
  </w:style>
  <w:style w:type="character" w:customStyle="1" w:styleId="Caption1">
    <w:name w:val="Caption1"/>
    <w:basedOn w:val="DefaultParagraphFont"/>
    <w:rsid w:val="00006711"/>
  </w:style>
  <w:style w:type="paragraph" w:styleId="NormalWeb">
    <w:name w:val="Normal (Web)"/>
    <w:basedOn w:val="Normal"/>
    <w:uiPriority w:val="99"/>
    <w:semiHidden/>
    <w:unhideWhenUsed/>
    <w:rsid w:val="00CE54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4C8"/>
    <w:rPr>
      <w:i/>
      <w:iCs/>
    </w:rPr>
  </w:style>
  <w:style w:type="character" w:styleId="Hyperlink">
    <w:name w:val="Hyperlink"/>
    <w:basedOn w:val="DefaultParagraphFont"/>
    <w:uiPriority w:val="99"/>
    <w:unhideWhenUsed/>
    <w:rsid w:val="00CE54C8"/>
    <w:rPr>
      <w:color w:val="0000FF"/>
      <w:u w:val="single"/>
    </w:rPr>
  </w:style>
  <w:style w:type="character" w:styleId="FollowedHyperlink">
    <w:name w:val="FollowedHyperlink"/>
    <w:basedOn w:val="DefaultParagraphFont"/>
    <w:uiPriority w:val="99"/>
    <w:semiHidden/>
    <w:unhideWhenUsed/>
    <w:rsid w:val="002A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youtube.com/watch?v=fLoq_st_JEo"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6</cp:revision>
  <cp:lastPrinted>2017-06-09T16:53:00Z</cp:lastPrinted>
  <dcterms:created xsi:type="dcterms:W3CDTF">2014-08-20T14:00:00Z</dcterms:created>
  <dcterms:modified xsi:type="dcterms:W3CDTF">2017-08-23T14:41:00Z</dcterms:modified>
</cp:coreProperties>
</file>